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Proceso al que aplica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6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7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2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3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4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A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E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C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1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C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A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G4+rgB8k77OLDbd3qiyPVGsfg==">AMUW2mU2vDSi8ganH+8OGd8egPDPP31dlnVftIojDNdIKNIzimpeIriX4zzzOzVThpS/uWhbRW5bmeVYKOwv1nBmD+CTc62BMDC+7an1Z78SByBCpm2rnBDcFxIexVZ2YdDsx4ckwieH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Cristina Velasco</dc:creator>
</cp:coreProperties>
</file>